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C0723" w14:textId="2B58D855" w:rsidR="0031381E" w:rsidRDefault="00212BFC" w:rsidP="002E2451">
      <w:pPr>
        <w:pStyle w:val="Heading10"/>
      </w:pPr>
      <w:r>
        <w:t>The European Climate Pact Ambassador call for applications toolkit</w:t>
      </w:r>
    </w:p>
    <w:p w14:paraId="385E43C1" w14:textId="77777777" w:rsidR="0015000D" w:rsidRDefault="0015000D" w:rsidP="00B53FB3">
      <w:pPr>
        <w:spacing w:after="120" w:line="276" w:lineRule="auto"/>
        <w:rPr>
          <w:rFonts w:eastAsia="Times New Roman"/>
          <w:lang w:eastAsia="en-GB"/>
        </w:rPr>
      </w:pP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0E4A272A" w:rsidR="00B53FB3" w:rsidRPr="007A2349" w:rsidRDefault="00B53FB3" w:rsidP="00B53FB3">
      <w:pPr>
        <w:pStyle w:val="Numberlist"/>
        <w:numPr>
          <w:ilvl w:val="0"/>
          <w:numId w:val="0"/>
        </w:numPr>
        <w:rPr>
          <w:b/>
          <w:color w:val="048743"/>
          <w:sz w:val="24"/>
          <w:szCs w:val="24"/>
        </w:rPr>
      </w:pPr>
      <w:r w:rsidRPr="007A2349">
        <w:rPr>
          <w:b/>
          <w:color w:val="048743"/>
          <w:sz w:val="24"/>
          <w:szCs w:val="24"/>
        </w:rPr>
        <w:t>Short promotional text (</w:t>
      </w:r>
      <w:r w:rsidR="00BD3F8C">
        <w:rPr>
          <w:b/>
          <w:color w:val="048743"/>
          <w:sz w:val="24"/>
          <w:szCs w:val="24"/>
        </w:rPr>
        <w:t>L</w:t>
      </w:r>
      <w:r w:rsidR="00973FCB">
        <w:rPr>
          <w:b/>
          <w:color w:val="048743"/>
          <w:sz w:val="24"/>
          <w:szCs w:val="24"/>
        </w:rPr>
        <w:t>V</w:t>
      </w:r>
      <w:r w:rsidRPr="007A2349">
        <w:rPr>
          <w:b/>
          <w:color w:val="048743"/>
          <w:sz w:val="24"/>
          <w:szCs w:val="24"/>
        </w:rPr>
        <w:t xml:space="preserve"> translation)</w:t>
      </w:r>
    </w:p>
    <w:p w14:paraId="0F6C24C1" w14:textId="77777777" w:rsidR="00973FCB" w:rsidRPr="00973FCB" w:rsidRDefault="00973FCB" w:rsidP="00973FCB">
      <w:pPr>
        <w:pStyle w:val="Numberlist"/>
        <w:numPr>
          <w:ilvl w:val="0"/>
          <w:numId w:val="0"/>
        </w:numPr>
        <w:rPr>
          <w:rFonts w:ascii="Arial" w:hAnsi="Arial" w:cs="Arial"/>
          <w:sz w:val="22"/>
          <w:szCs w:val="22"/>
          <w:lang w:val="lv-LV"/>
        </w:rPr>
      </w:pPr>
      <w:r w:rsidRPr="00973FCB">
        <w:rPr>
          <w:rFonts w:ascii="Arial" w:hAnsi="Arial" w:cs="Arial"/>
          <w:sz w:val="22"/>
          <w:szCs w:val="22"/>
          <w:lang w:val="lv-LV"/>
        </w:rPr>
        <w:t xml:space="preserve">Sniedziet savu ieguldījumu: pievienojieties Eiropas Klimata paktam </w:t>
      </w:r>
    </w:p>
    <w:p w14:paraId="42CAC606" w14:textId="4E1EDCAF" w:rsidR="00973FCB" w:rsidRPr="00973FCB" w:rsidRDefault="00973FCB" w:rsidP="00973FCB">
      <w:pPr>
        <w:pStyle w:val="Numberlist"/>
        <w:numPr>
          <w:ilvl w:val="0"/>
          <w:numId w:val="0"/>
        </w:numPr>
        <w:rPr>
          <w:rFonts w:ascii="Arial" w:hAnsi="Arial" w:cs="Arial"/>
          <w:sz w:val="22"/>
          <w:szCs w:val="22"/>
          <w:lang w:val="lv-LV"/>
        </w:rPr>
      </w:pPr>
      <w:r w:rsidRPr="00973FCB">
        <w:rPr>
          <w:rFonts w:ascii="Arial" w:hAnsi="Arial" w:cs="Arial"/>
          <w:sz w:val="22"/>
          <w:szCs w:val="22"/>
          <w:lang w:val="lv-LV"/>
        </w:rPr>
        <w:t>Vai esat gatavs sniegt savu ieguldījumu cīņā pret klimata pārmaiņām? No 1. oktobrim</w:t>
      </w:r>
      <w:r w:rsidRPr="00973FCB">
        <w:rPr>
          <w:rFonts w:ascii="Arial" w:hAnsi="Arial" w:cs="Arial"/>
          <w:sz w:val="22"/>
          <w:szCs w:val="22"/>
          <w:lang w:val="lv-LV"/>
        </w:rPr>
        <w:t xml:space="preserve"> </w:t>
      </w:r>
      <w:r w:rsidRPr="00973FCB">
        <w:rPr>
          <w:rFonts w:ascii="Arial" w:hAnsi="Arial" w:cs="Arial"/>
          <w:sz w:val="22"/>
          <w:szCs w:val="22"/>
          <w:lang w:val="lv-LV"/>
        </w:rPr>
        <w:t xml:space="preserve">līdz </w:t>
      </w:r>
      <w:r>
        <w:rPr>
          <w:rFonts w:ascii="Arial" w:hAnsi="Arial" w:cs="Arial"/>
          <w:sz w:val="22"/>
          <w:szCs w:val="22"/>
          <w:lang w:val="lv-LV"/>
        </w:rPr>
        <w:t>31</w:t>
      </w:r>
      <w:r w:rsidRPr="00973FCB">
        <w:rPr>
          <w:rFonts w:ascii="Arial" w:hAnsi="Arial" w:cs="Arial"/>
          <w:sz w:val="22"/>
          <w:szCs w:val="22"/>
          <w:lang w:val="lv-LV"/>
        </w:rPr>
        <w:t xml:space="preserve">. oktobrim varat pieteikties, lai kļūtu par Eiropas Klimata pakta vēstnesi! </w:t>
      </w:r>
    </w:p>
    <w:p w14:paraId="781B99B6" w14:textId="77777777" w:rsidR="00973FCB" w:rsidRPr="00973FCB" w:rsidRDefault="00973FCB" w:rsidP="00973FCB">
      <w:pPr>
        <w:pStyle w:val="Numberlist"/>
        <w:numPr>
          <w:ilvl w:val="0"/>
          <w:numId w:val="0"/>
        </w:numPr>
        <w:rPr>
          <w:rFonts w:ascii="Arial" w:hAnsi="Arial" w:cs="Arial"/>
          <w:sz w:val="22"/>
          <w:szCs w:val="22"/>
          <w:lang w:val="lv-LV"/>
        </w:rPr>
      </w:pPr>
      <w:r w:rsidRPr="00973FCB">
        <w:rPr>
          <w:rFonts w:ascii="Arial" w:hAnsi="Arial" w:cs="Arial"/>
          <w:sz w:val="22"/>
          <w:szCs w:val="22"/>
          <w:lang w:val="lv-LV"/>
        </w:rPr>
        <w:t xml:space="preserve">Daudzi jums līdzīgi </w:t>
      </w:r>
      <w:r w:rsidRPr="00973FCB">
        <w:rPr>
          <w:rFonts w:ascii="Arial" w:hAnsi="Arial" w:cs="Arial"/>
          <w:sz w:val="22"/>
          <w:szCs w:val="22"/>
          <w:highlight w:val="yellow"/>
          <w:lang w:val="lv-LV"/>
        </w:rPr>
        <w:t>[jūsu mērķauditorija, piemēram, uzņēmēji, kopienas līderi, jaunieši, pedagogi utt.]</w:t>
      </w:r>
      <w:r w:rsidRPr="00973FCB">
        <w:rPr>
          <w:rFonts w:ascii="Arial" w:hAnsi="Arial" w:cs="Arial"/>
          <w:sz w:val="22"/>
          <w:szCs w:val="22"/>
          <w:lang w:val="lv-LV"/>
        </w:rPr>
        <w:t xml:space="preserve"> jau veic pasākumus klimata jomā. Kā pakta vēstnesis jūs varēsiet sazināties ar simtiem līdzīgi domājošu cilvēku Eiropā, piekļūt vērtīgiem rīkiem un resursiem, kā arī iepazīstināt ar savām aktivitātēm. Eiropas Klimata pakta vēstneši informē par klimata politiku un klimatrīcību savas kopienas un tīklus, kā arī iedvesmo rīcībai un atbalsta šo politiku.  </w:t>
      </w:r>
    </w:p>
    <w:p w14:paraId="00975919" w14:textId="55E4CA89" w:rsidR="003D478B" w:rsidRPr="00B53FB3" w:rsidRDefault="00973FCB" w:rsidP="00973FCB">
      <w:pPr>
        <w:pStyle w:val="Numberlist"/>
        <w:numPr>
          <w:ilvl w:val="0"/>
          <w:numId w:val="0"/>
        </w:numPr>
        <w:rPr>
          <w:lang w:val="lv-LV"/>
        </w:rPr>
      </w:pPr>
      <w:r w:rsidRPr="00973FCB">
        <w:rPr>
          <w:rFonts w:ascii="Arial" w:hAnsi="Arial" w:cs="Arial"/>
          <w:sz w:val="22"/>
          <w:szCs w:val="22"/>
          <w:lang w:val="lv-LV"/>
        </w:rPr>
        <w:t>Uzziniet vairāk par ES klimata pakta vēstnešiem un piesakieties jau šodien</w:t>
      </w:r>
    </w:p>
    <w:sectPr w:rsidR="003D478B" w:rsidRPr="00B53FB3" w:rsidSect="0015000D">
      <w:footerReference w:type="default" r:id="rId14"/>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F5FF0D" w14:textId="77777777" w:rsidR="007A7C1A" w:rsidRDefault="007A7C1A" w:rsidP="004612D1">
      <w:pPr>
        <w:spacing w:after="0" w:line="240" w:lineRule="auto"/>
      </w:pPr>
      <w:r>
        <w:separator/>
      </w:r>
    </w:p>
  </w:endnote>
  <w:endnote w:type="continuationSeparator" w:id="0">
    <w:p w14:paraId="6E0AD1D0" w14:textId="77777777" w:rsidR="007A7C1A" w:rsidRDefault="007A7C1A" w:rsidP="004612D1">
      <w:pPr>
        <w:spacing w:after="0" w:line="240" w:lineRule="auto"/>
      </w:pPr>
      <w:r>
        <w:continuationSeparator/>
      </w:r>
    </w:p>
  </w:endnote>
  <w:endnote w:type="continuationNotice" w:id="1">
    <w:p w14:paraId="582F824C" w14:textId="77777777" w:rsidR="007A7C1A" w:rsidRDefault="007A7C1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1C1AE" id="Rectangle 3" o:spid="_x0000_s1026"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fillcolor="#048743" stroked="f" strokeweight="1pt">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1DDB1" id="Rectangle 3" o:spid="_x0000_s1026"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fillcolor="#048743" stroked="f" strokeweight="1pt">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F8752" w14:textId="77777777" w:rsidR="007A7C1A" w:rsidRDefault="007A7C1A" w:rsidP="004612D1">
      <w:pPr>
        <w:spacing w:after="0" w:line="240" w:lineRule="auto"/>
      </w:pPr>
      <w:r>
        <w:separator/>
      </w:r>
    </w:p>
  </w:footnote>
  <w:footnote w:type="continuationSeparator" w:id="0">
    <w:p w14:paraId="4948AC4C" w14:textId="77777777" w:rsidR="007A7C1A" w:rsidRDefault="007A7C1A" w:rsidP="004612D1">
      <w:pPr>
        <w:spacing w:after="0" w:line="240" w:lineRule="auto"/>
      </w:pPr>
      <w:r>
        <w:continuationSeparator/>
      </w:r>
    </w:p>
  </w:footnote>
  <w:footnote w:type="continuationNotice" w:id="1">
    <w:p w14:paraId="1377E642" w14:textId="77777777" w:rsidR="007A7C1A" w:rsidRDefault="007A7C1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3143D"/>
    <w:rsid w:val="00133FF5"/>
    <w:rsid w:val="0015000D"/>
    <w:rsid w:val="0015072F"/>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47DB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D7349"/>
    <w:rsid w:val="004E184C"/>
    <w:rsid w:val="004E3E83"/>
    <w:rsid w:val="004E60E6"/>
    <w:rsid w:val="00500EC7"/>
    <w:rsid w:val="00514C51"/>
    <w:rsid w:val="005353DC"/>
    <w:rsid w:val="00535AD9"/>
    <w:rsid w:val="0055287B"/>
    <w:rsid w:val="005617B9"/>
    <w:rsid w:val="00567A12"/>
    <w:rsid w:val="005725FE"/>
    <w:rsid w:val="0057354B"/>
    <w:rsid w:val="005833E2"/>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06943"/>
    <w:rsid w:val="007124A6"/>
    <w:rsid w:val="007130DB"/>
    <w:rsid w:val="00747EF5"/>
    <w:rsid w:val="007760A7"/>
    <w:rsid w:val="00780634"/>
    <w:rsid w:val="00792915"/>
    <w:rsid w:val="007A2349"/>
    <w:rsid w:val="007A7C1A"/>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6A87"/>
    <w:rsid w:val="00903BB9"/>
    <w:rsid w:val="009138BE"/>
    <w:rsid w:val="00915B7D"/>
    <w:rsid w:val="00917263"/>
    <w:rsid w:val="009417E2"/>
    <w:rsid w:val="009468FD"/>
    <w:rsid w:val="009508B5"/>
    <w:rsid w:val="00952A8E"/>
    <w:rsid w:val="009530FD"/>
    <w:rsid w:val="00956A73"/>
    <w:rsid w:val="00973FCB"/>
    <w:rsid w:val="009857AD"/>
    <w:rsid w:val="009A0489"/>
    <w:rsid w:val="009A351A"/>
    <w:rsid w:val="009C6185"/>
    <w:rsid w:val="009D46EE"/>
    <w:rsid w:val="009F4922"/>
    <w:rsid w:val="009F7FBC"/>
    <w:rsid w:val="00A31A7E"/>
    <w:rsid w:val="00A37D61"/>
    <w:rsid w:val="00A478ED"/>
    <w:rsid w:val="00A51E25"/>
    <w:rsid w:val="00A60DAA"/>
    <w:rsid w:val="00A655AD"/>
    <w:rsid w:val="00A709E3"/>
    <w:rsid w:val="00A807FB"/>
    <w:rsid w:val="00A91F81"/>
    <w:rsid w:val="00A93BCE"/>
    <w:rsid w:val="00AA4DC0"/>
    <w:rsid w:val="00AB4787"/>
    <w:rsid w:val="00AC6F6A"/>
    <w:rsid w:val="00AD21F0"/>
    <w:rsid w:val="00AE47E0"/>
    <w:rsid w:val="00AF1657"/>
    <w:rsid w:val="00AF58F4"/>
    <w:rsid w:val="00AF6D39"/>
    <w:rsid w:val="00B00C69"/>
    <w:rsid w:val="00B036C1"/>
    <w:rsid w:val="00B06CF0"/>
    <w:rsid w:val="00B13803"/>
    <w:rsid w:val="00B25E4E"/>
    <w:rsid w:val="00B53FB3"/>
    <w:rsid w:val="00B7721B"/>
    <w:rsid w:val="00B85235"/>
    <w:rsid w:val="00B927AF"/>
    <w:rsid w:val="00B96306"/>
    <w:rsid w:val="00BA4770"/>
    <w:rsid w:val="00BB21F7"/>
    <w:rsid w:val="00BB3535"/>
    <w:rsid w:val="00BC3F6D"/>
    <w:rsid w:val="00BD3F8C"/>
    <w:rsid w:val="00BD6305"/>
    <w:rsid w:val="00BE5ED6"/>
    <w:rsid w:val="00BE6EFF"/>
    <w:rsid w:val="00C3492A"/>
    <w:rsid w:val="00C36C53"/>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E0072D"/>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ABC"/>
    <w:rsid w:val="00F40DB1"/>
    <w:rsid w:val="00F43771"/>
    <w:rsid w:val="00F6000E"/>
    <w:rsid w:val="00F74ED8"/>
    <w:rsid w:val="00F850E4"/>
    <w:rsid w:val="00F95EB3"/>
    <w:rsid w:val="00FA3DE9"/>
    <w:rsid w:val="00FB090E"/>
    <w:rsid w:val="00FE6D75"/>
    <w:rsid w:val="128C206E"/>
    <w:rsid w:val="25EDC004"/>
    <w:rsid w:val="2793636A"/>
    <w:rsid w:val="3EDD4BDC"/>
    <w:rsid w:val="76A9C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Props1.xml><?xml version="1.0" encoding="utf-8"?>
<ds:datastoreItem xmlns:ds="http://schemas.openxmlformats.org/officeDocument/2006/customXml" ds:itemID="{243696E7-A6FD-4561-9C6C-3BBB765BF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12</cp:revision>
  <dcterms:created xsi:type="dcterms:W3CDTF">2024-09-09T08:48:00Z</dcterms:created>
  <dcterms:modified xsi:type="dcterms:W3CDTF">2024-09-12T13:44:00Z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